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40BF" w14:textId="6A42D2DE" w:rsidR="00876DB9" w:rsidRPr="0077053F" w:rsidRDefault="00876DB9" w:rsidP="002C0569">
      <w:pPr>
        <w:spacing w:after="0"/>
        <w:jc w:val="center"/>
        <w:rPr>
          <w:rFonts w:ascii="Palatino Linotype" w:hAnsi="Palatino Linotype"/>
        </w:rPr>
      </w:pPr>
      <w:bookmarkStart w:id="0" w:name="_GoBack"/>
      <w:bookmarkEnd w:id="0"/>
      <w:r w:rsidRPr="0077053F">
        <w:rPr>
          <w:rFonts w:ascii="Palatino Linotype" w:eastAsia="MS Mincho" w:hAnsi="Palatino Linotype" w:cs="Georgia"/>
          <w:b/>
          <w:noProof/>
          <w:color w:val="00000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260F092" wp14:editId="0BB064B0">
            <wp:simplePos x="0" y="0"/>
            <wp:positionH relativeFrom="column">
              <wp:posOffset>2613172</wp:posOffset>
            </wp:positionH>
            <wp:positionV relativeFrom="paragraph">
              <wp:posOffset>146</wp:posOffset>
            </wp:positionV>
            <wp:extent cx="731520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CD1">
        <w:rPr>
          <w:rFonts w:ascii="Palatino Linotype" w:hAnsi="Palatino Linotype"/>
        </w:rPr>
        <w:br w:type="textWrapping" w:clear="all"/>
      </w:r>
    </w:p>
    <w:p w14:paraId="2B75A825" w14:textId="77777777" w:rsidR="00876DB9" w:rsidRPr="0077053F" w:rsidRDefault="00876DB9" w:rsidP="002C0569">
      <w:pPr>
        <w:spacing w:after="0"/>
        <w:jc w:val="center"/>
        <w:rPr>
          <w:rFonts w:ascii="Palatino Linotype" w:hAnsi="Palatino Linotype"/>
        </w:rPr>
      </w:pPr>
    </w:p>
    <w:p w14:paraId="5BC0553A" w14:textId="77777777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377A21">
        <w:rPr>
          <w:rFonts w:ascii="Times New Roman" w:hAnsi="Times New Roman" w:cs="Times New Roman"/>
          <w:sz w:val="25"/>
          <w:szCs w:val="25"/>
          <w:lang w:val="en-US"/>
        </w:rPr>
        <w:t>Statement by His Excellency Archbishop Ivan Jurkovič</w:t>
      </w:r>
    </w:p>
    <w:p w14:paraId="7C927E57" w14:textId="6FC0571B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377A21">
        <w:rPr>
          <w:rFonts w:ascii="Times New Roman" w:hAnsi="Times New Roman" w:cs="Times New Roman"/>
          <w:sz w:val="25"/>
          <w:szCs w:val="25"/>
          <w:lang w:val="en-US"/>
        </w:rPr>
        <w:t>Permanent Observer of the Holy See to the United Nations</w:t>
      </w:r>
    </w:p>
    <w:p w14:paraId="1B05BB81" w14:textId="77777777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377A21">
        <w:rPr>
          <w:rFonts w:ascii="Times New Roman" w:hAnsi="Times New Roman" w:cs="Times New Roman"/>
          <w:sz w:val="25"/>
          <w:szCs w:val="25"/>
          <w:lang w:val="en-US"/>
        </w:rPr>
        <w:t>and Other International Organizations in Geneva</w:t>
      </w:r>
    </w:p>
    <w:p w14:paraId="45F70CEB" w14:textId="77777777" w:rsidR="00876DB9" w:rsidRPr="00377A21" w:rsidRDefault="00876DB9" w:rsidP="002C0569">
      <w:pPr>
        <w:autoSpaceDE w:val="0"/>
        <w:spacing w:after="0"/>
        <w:jc w:val="center"/>
        <w:rPr>
          <w:rFonts w:ascii="Times New Roman" w:hAnsi="Times New Roman" w:cs="Times New Roman"/>
          <w:bCs/>
          <w:sz w:val="25"/>
          <w:szCs w:val="25"/>
          <w:lang w:val="en-US"/>
        </w:rPr>
      </w:pPr>
      <w:r w:rsidRPr="00377A21">
        <w:rPr>
          <w:rFonts w:ascii="Times New Roman" w:hAnsi="Times New Roman" w:cs="Times New Roman"/>
          <w:sz w:val="25"/>
          <w:szCs w:val="25"/>
          <w:lang w:val="en-US"/>
        </w:rPr>
        <w:t>at the 38</w:t>
      </w:r>
      <w:r w:rsidRPr="00377A21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th</w:t>
      </w:r>
      <w:r w:rsidRPr="00377A21">
        <w:rPr>
          <w:rFonts w:ascii="Times New Roman" w:hAnsi="Times New Roman" w:cs="Times New Roman"/>
          <w:sz w:val="25"/>
          <w:szCs w:val="25"/>
          <w:lang w:val="en-US"/>
        </w:rPr>
        <w:t xml:space="preserve"> Session of the Human Rights Council</w:t>
      </w:r>
    </w:p>
    <w:p w14:paraId="31B77108" w14:textId="40DAA3A4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color w:val="FF0000"/>
          <w:sz w:val="25"/>
          <w:szCs w:val="25"/>
          <w:lang w:val="en-GB"/>
        </w:rPr>
      </w:pPr>
      <w:r w:rsidRPr="00377A21">
        <w:rPr>
          <w:rFonts w:ascii="Times New Roman" w:hAnsi="Times New Roman" w:cs="Times New Roman"/>
          <w:sz w:val="25"/>
          <w:szCs w:val="25"/>
          <w:lang w:val="en-US"/>
        </w:rPr>
        <w:t xml:space="preserve">Item 3 – </w:t>
      </w:r>
      <w:r w:rsidR="008E565E" w:rsidRPr="00377A21">
        <w:rPr>
          <w:rFonts w:ascii="Times New Roman" w:hAnsi="Times New Roman" w:cs="Times New Roman"/>
          <w:sz w:val="25"/>
          <w:szCs w:val="25"/>
          <w:lang w:val="en-GB"/>
        </w:rPr>
        <w:t>Clustered ID with WG on transnational corporations and human rights</w:t>
      </w:r>
    </w:p>
    <w:p w14:paraId="65781BB1" w14:textId="77777777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4BCB42B2" w14:textId="109A3FC9" w:rsidR="00876DB9" w:rsidRPr="00377A21" w:rsidRDefault="00876DB9" w:rsidP="002C0569">
      <w:pPr>
        <w:spacing w:after="0"/>
        <w:jc w:val="center"/>
        <w:rPr>
          <w:rFonts w:ascii="Times New Roman" w:hAnsi="Times New Roman" w:cs="Times New Roman"/>
          <w:bCs/>
          <w:i/>
          <w:sz w:val="25"/>
          <w:szCs w:val="25"/>
          <w:lang w:val="en-US"/>
        </w:rPr>
      </w:pPr>
      <w:r w:rsidRPr="00377A21">
        <w:rPr>
          <w:rFonts w:ascii="Times New Roman" w:hAnsi="Times New Roman" w:cs="Times New Roman"/>
          <w:i/>
          <w:sz w:val="25"/>
          <w:szCs w:val="25"/>
          <w:lang w:val="en-US"/>
        </w:rPr>
        <w:t xml:space="preserve">Geneva, </w:t>
      </w:r>
      <w:r w:rsidR="008E565E" w:rsidRPr="00377A21">
        <w:rPr>
          <w:rFonts w:ascii="Times New Roman" w:hAnsi="Times New Roman" w:cs="Times New Roman"/>
          <w:i/>
          <w:sz w:val="25"/>
          <w:szCs w:val="25"/>
          <w:lang w:val="en-US"/>
        </w:rPr>
        <w:t>22</w:t>
      </w:r>
      <w:r w:rsidRPr="00377A21">
        <w:rPr>
          <w:rFonts w:ascii="Times New Roman" w:hAnsi="Times New Roman" w:cs="Times New Roman"/>
          <w:i/>
          <w:sz w:val="25"/>
          <w:szCs w:val="25"/>
          <w:lang w:val="en-US"/>
        </w:rPr>
        <w:t xml:space="preserve"> June 2018</w:t>
      </w:r>
    </w:p>
    <w:p w14:paraId="19A9EB4A" w14:textId="77777777" w:rsidR="007E4234" w:rsidRPr="00377A21" w:rsidRDefault="007E4234" w:rsidP="007E4234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GB"/>
        </w:rPr>
      </w:pPr>
    </w:p>
    <w:p w14:paraId="2BE4E5E6" w14:textId="77777777" w:rsidR="00E56672" w:rsidRPr="00377A21" w:rsidRDefault="00E56672" w:rsidP="007E4234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GB"/>
        </w:rPr>
      </w:pPr>
    </w:p>
    <w:p w14:paraId="21ACFD29" w14:textId="77777777" w:rsidR="007E4234" w:rsidRPr="00BE14FD" w:rsidRDefault="007E4234" w:rsidP="00725C4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Mr. President,</w:t>
      </w:r>
    </w:p>
    <w:p w14:paraId="7E1FDAA0" w14:textId="77777777" w:rsidR="00A16953" w:rsidRPr="00BE14FD" w:rsidRDefault="00A16953" w:rsidP="00725C4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</w:p>
    <w:p w14:paraId="02408884" w14:textId="6F861470" w:rsidR="002C0569" w:rsidRPr="00BE14FD" w:rsidRDefault="00833C7B" w:rsidP="002C05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/>
        </w:rPr>
      </w:pPr>
      <w:r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Perhaps t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oday more than ever, e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conomic and financial issues 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attract</w:t>
      </w:r>
      <w:r w:rsidR="002C0569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our attention because of the growing influence 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that</w:t>
      </w:r>
      <w:r w:rsidR="002C0569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financial markets 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play in</w:t>
      </w:r>
      <w:r w:rsidR="002C0569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the material well-being of most of humankind. The Holy See Delegation has continuously recalled the necessity of an appropriate regulation of the</w:t>
      </w:r>
      <w:r w:rsidR="002C0569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activities of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Transnational Corporations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9C2720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guided by an ethical approach that can ensure a </w:t>
      </w:r>
      <w:r w:rsidR="002C0569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decent standard of living</w:t>
      </w:r>
      <w:r w:rsidR="002C0569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realized through respect of human </w:t>
      </w:r>
      <w:r w:rsidR="003E53C3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dignity</w:t>
      </w:r>
      <w:r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3E53C3" w:rsidRPr="00BE14F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rather than </w:t>
      </w:r>
      <w:r w:rsidR="003E53C3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a </w:t>
      </w:r>
      <w:r w:rsidR="009C2720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mere </w:t>
      </w:r>
      <w:r w:rsidR="003E53C3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economic interest. </w:t>
      </w:r>
      <w:r w:rsidR="0077053F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In the context of business activities,</w:t>
      </w:r>
      <w:r w:rsidR="003E53C3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this</w:t>
      </w:r>
      <w:r w:rsidR="00F379A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implies</w:t>
      </w:r>
      <w:r w:rsidR="003E53C3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F379A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that</w:t>
      </w:r>
      <w:r w:rsidR="0077053F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an integral respect for communities and their rights cannot be separated from care for the environment. </w:t>
      </w:r>
      <w:r w:rsidR="00F379A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In fact, </w:t>
      </w:r>
      <w:r w:rsidR="003E53C3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a</w:t>
      </w:r>
      <w:r w:rsidR="00D04A85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healthy</w:t>
      </w:r>
      <w:r w:rsidR="007E423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environment is essential to human life. </w:t>
      </w:r>
      <w:r w:rsidR="00646B34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Businesses make a contribution to the community by fostering the special dignity of human work. Employment, just like business, is a noble and essential vocation, it is “part of the meaning of life on this earth, a path to growth, human development and personal fulfilment”.</w:t>
      </w:r>
      <w:r w:rsidR="00C25DA4" w:rsidRPr="00BE14FD">
        <w:rPr>
          <w:rStyle w:val="Funotenzeichen"/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footnoteReference w:id="1"/>
      </w:r>
      <w:r w:rsidR="00646B34" w:rsidRPr="00BE14FD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 </w:t>
      </w:r>
    </w:p>
    <w:p w14:paraId="25CD4756" w14:textId="77777777" w:rsidR="002C0569" w:rsidRPr="00BE14FD" w:rsidRDefault="002C0569" w:rsidP="002C05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/>
        </w:rPr>
      </w:pPr>
    </w:p>
    <w:p w14:paraId="71D77E8A" w14:textId="0DC14FD7" w:rsidR="001E59AD" w:rsidRPr="00BE14FD" w:rsidRDefault="001E59AD" w:rsidP="00A60FC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While trade and investment agreements do not prohibit measures and policies aimed at protecting human rights </w:t>
      </w:r>
      <w:r w:rsidRPr="00BE14FD">
        <w:rPr>
          <w:rFonts w:ascii="Times New Roman" w:hAnsi="Times New Roman" w:cs="Times New Roman"/>
          <w:i/>
          <w:color w:val="000000" w:themeColor="text1"/>
          <w:sz w:val="25"/>
          <w:szCs w:val="25"/>
          <w:lang w:val="en-US"/>
        </w:rPr>
        <w:t>per se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, they may limit the options of a State to ful</w:t>
      </w:r>
      <w:r w:rsidR="000A65D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fil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its human rights obligations. In the context of the debate on the relationship between trade and investment and human rights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,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the host States’ </w:t>
      </w:r>
      <w:r w:rsidR="00173D5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freedom to regulate has become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a proxy for human rights</w:t>
      </w:r>
      <w:r w:rsidR="000A65D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. These provisions are not mutually exclusive and could be combined</w:t>
      </w:r>
      <w:r w:rsidR="003E53C3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, resulting i</w:t>
      </w:r>
      <w:r w:rsidR="00BE14FD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n </w:t>
      </w:r>
      <w:r w:rsidR="000A65D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regulatory certainty and a </w:t>
      </w:r>
      <w:r w:rsidR="007A0906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US"/>
        </w:rPr>
        <w:t>long-term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</w:t>
      </w:r>
      <w:r w:rsidR="000A65D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legal</w:t>
      </w:r>
      <w:r w:rsidR="007A0906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</w:t>
      </w:r>
      <w:r w:rsidR="007A0906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US"/>
        </w:rPr>
        <w:t>framework</w:t>
      </w:r>
      <w:r w:rsidR="000A65D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. </w:t>
      </w:r>
    </w:p>
    <w:p w14:paraId="1A655452" w14:textId="7F16A1F9" w:rsidR="00C916A2" w:rsidRPr="00BE14FD" w:rsidRDefault="00173D54" w:rsidP="009B17CD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Given the transnational nature of both economic freedoms and human rights, robust transnational legislation has to be promoted to support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Governments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in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their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duty to protect against third-party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human rights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abuses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. Such a legal framework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should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lie 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at 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the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core of the international human rights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structure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. The corporate responsibility to respect human rights is the basic expectation 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that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society has of business. 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Moreover, a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ccess to remedy 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should be a core element of such an instrument since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even the most concerted efforts cannot prevent all abuse</w:t>
      </w:r>
      <w:r w:rsidR="009B17CD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s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, and victims should be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lastRenderedPageBreak/>
        <w:t>able to seek redress.</w:t>
      </w:r>
      <w:r w:rsidR="00A7422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Abuses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attack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the well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established truths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that every person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enjoys an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intrinsic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 xml:space="preserve">and </w:t>
      </w:r>
      <w:r w:rsidR="009B17CD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inalienable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dignity and that we are all members of the human family. Moreover, recent history teaches us how systemic viol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ations of human rights by some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c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orporations can lead to forced migration. Such movements can be caused by violence, land grabbing,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exploitation of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resources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and monopolization of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seeds; all factors that can lead to starvation and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 xml:space="preserve">to the depletion of resources necessary to fulfil the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minimum</w:t>
      </w:r>
      <w:r w:rsidR="00C6239A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C6239A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requirements of</w:t>
      </w:r>
      <w:r w:rsidR="00CA6940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 xml:space="preserve"> life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. </w:t>
      </w:r>
    </w:p>
    <w:p w14:paraId="78AA5040" w14:textId="77777777" w:rsidR="00543F9C" w:rsidRPr="00BE14FD" w:rsidRDefault="00543F9C" w:rsidP="00725C4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</w:p>
    <w:p w14:paraId="7EA4EE15" w14:textId="7367B2D9" w:rsidR="00173D54" w:rsidRPr="00BE14FD" w:rsidRDefault="00173D54" w:rsidP="00725C4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Mr</w:t>
      </w:r>
      <w:r w:rsidR="002C0569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.</w:t>
      </w:r>
      <w:r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 xml:space="preserve"> </w:t>
      </w:r>
      <w:r w:rsidR="002C0569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President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,</w:t>
      </w:r>
    </w:p>
    <w:p w14:paraId="41CC8600" w14:textId="77777777" w:rsidR="00CA6940" w:rsidRPr="00BE14FD" w:rsidRDefault="00CA6940" w:rsidP="00725C48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</w:p>
    <w:p w14:paraId="4B9ED575" w14:textId="0E1FFE7A" w:rsidR="000A65DB" w:rsidRPr="00BE14FD" w:rsidRDefault="00725C48" w:rsidP="009B17CD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</w:pP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Since care for </w:t>
      </w:r>
      <w:r w:rsidR="00833C7B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the</w:t>
      </w:r>
      <w:r w:rsidR="00833C7B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environment is essential to make our societies live and flourish, the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negotiations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of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an international legal i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nstrument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on business and human rights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must take into consideration the protection of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the environment from unsustainable exploitation. In the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work of the upcoming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session of the </w:t>
      </w:r>
      <w:r w:rsidR="009B17CD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W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orking </w:t>
      </w:r>
      <w:r w:rsidR="009B17CD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G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roup</w:t>
      </w:r>
      <w:r w:rsidR="00371124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,</w:t>
      </w:r>
      <w:r w:rsidR="00CA6940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 xml:space="preserve"> 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we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need to </w:t>
      </w:r>
      <w:r w:rsidR="00371124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take</w:t>
      </w:r>
      <w:r w:rsidR="0037112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in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to consider</w:t>
      </w:r>
      <w:r w:rsidR="00377A21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ation</w:t>
      </w:r>
      <w:r w:rsidR="00CA6940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the need of “</w:t>
      </w:r>
      <w:r w:rsidR="00CA6940" w:rsidRPr="00BE14F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t>a critical evaluation of the environmental impact of economic decisions (…), in order to take into proper account their long-term human and environmental costs. To the extent possible, such an evaluation should involve local institutions and communities in decision-making processes”</w:t>
      </w:r>
      <w:r w:rsidRPr="00BE14FD">
        <w:rPr>
          <w:rStyle w:val="Funotenzeichen"/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footnoteReference w:id="2"/>
      </w:r>
      <w:r w:rsidR="00CA6940" w:rsidRPr="00BE14F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t>.</w:t>
      </w:r>
      <w:r w:rsidRPr="00BE14FD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 </w:t>
      </w:r>
      <w:r w:rsidR="00173D5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It is important to recall that in this effort governments,</w:t>
      </w:r>
      <w:r w:rsidR="00543F9C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local communities, </w:t>
      </w:r>
      <w:r w:rsidR="00173D5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business, </w:t>
      </w:r>
      <w:r w:rsidR="00543F9C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human rights’ defenders</w:t>
      </w:r>
      <w:r w:rsidR="00943EDD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,</w:t>
      </w:r>
      <w:r w:rsidR="00543F9C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173D5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each and </w:t>
      </w:r>
      <w:r w:rsidR="00543F9C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all play a critical, interlinked</w:t>
      </w:r>
      <w:r w:rsidR="0047684F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,</w:t>
      </w:r>
      <w:r w:rsidR="00543F9C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role in fostering sustainable development</w:t>
      </w:r>
      <w:r w:rsidR="00071075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and the creation of a fairer world for </w:t>
      </w:r>
      <w:r w:rsidR="0047684F"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all of</w:t>
      </w:r>
      <w:r w:rsidR="0047684F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 </w:t>
      </w:r>
      <w:r w:rsidR="00173D54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>society</w:t>
      </w:r>
      <w:r w:rsidR="00071075" w:rsidRPr="00BE14FD">
        <w:rPr>
          <w:rFonts w:ascii="Times New Roman" w:hAnsi="Times New Roman" w:cs="Times New Roman"/>
          <w:color w:val="000000" w:themeColor="text1"/>
          <w:sz w:val="25"/>
          <w:szCs w:val="25"/>
          <w:lang w:val="en-GB"/>
        </w:rPr>
        <w:t xml:space="preserve">. </w:t>
      </w:r>
    </w:p>
    <w:p w14:paraId="56CD87FE" w14:textId="25E6FB09" w:rsidR="002C0569" w:rsidRPr="00BE14FD" w:rsidRDefault="002C0569" w:rsidP="00725C48">
      <w:pPr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</w:pPr>
      <w:r w:rsidRPr="00BE14FD">
        <w:rPr>
          <w:rFonts w:ascii="Times New Roman" w:hAnsi="Times New Roman" w:cs="Times New Roman"/>
          <w:bCs/>
          <w:color w:val="000000" w:themeColor="text1"/>
          <w:sz w:val="25"/>
          <w:szCs w:val="25"/>
          <w:lang w:val="en-GB"/>
        </w:rPr>
        <w:t>Thank you, Mr. President.</w:t>
      </w:r>
    </w:p>
    <w:p w14:paraId="00C1D652" w14:textId="77777777" w:rsidR="002C0569" w:rsidRPr="00377A21" w:rsidRDefault="002C0569" w:rsidP="00725C48">
      <w:pPr>
        <w:jc w:val="both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14:paraId="5014FAB2" w14:textId="276FC6A4" w:rsidR="00543F9C" w:rsidRPr="009C2720" w:rsidRDefault="001A20A2" w:rsidP="009C2720">
      <w:pPr>
        <w:spacing w:after="0"/>
        <w:jc w:val="both"/>
        <w:rPr>
          <w:rFonts w:ascii="Palatino" w:hAnsi="Palatino" w:cs="Times New Roman"/>
          <w:color w:val="000000" w:themeColor="text1"/>
          <w:lang w:val="en-GB"/>
        </w:rPr>
      </w:pPr>
      <w:r w:rsidRPr="009C2720">
        <w:rPr>
          <w:rFonts w:ascii="Palatino" w:hAnsi="Palatino" w:cs="Arial"/>
          <w:color w:val="000000" w:themeColor="text1"/>
          <w:lang w:val="en-GB"/>
        </w:rPr>
        <w:t xml:space="preserve"> </w:t>
      </w:r>
    </w:p>
    <w:p w14:paraId="2508D1EA" w14:textId="77777777" w:rsidR="00031362" w:rsidRPr="009C2720" w:rsidRDefault="00031362" w:rsidP="009C2720">
      <w:pPr>
        <w:spacing w:after="0"/>
        <w:jc w:val="both"/>
        <w:rPr>
          <w:rFonts w:ascii="Palatino" w:hAnsi="Palatino" w:cs="Times New Roman"/>
          <w:color w:val="000000" w:themeColor="text1"/>
          <w:lang w:val="en-GB"/>
        </w:rPr>
      </w:pPr>
    </w:p>
    <w:p w14:paraId="6EFF8C92" w14:textId="77777777" w:rsidR="00CD60DE" w:rsidRPr="009C2720" w:rsidRDefault="00CD60DE" w:rsidP="0077053F">
      <w:pPr>
        <w:spacing w:after="0"/>
        <w:jc w:val="both"/>
        <w:rPr>
          <w:rFonts w:ascii="Palatino" w:hAnsi="Palatino" w:cs="Times New Roman"/>
          <w:lang w:val="en-GB"/>
        </w:rPr>
      </w:pPr>
    </w:p>
    <w:p w14:paraId="5CC0B96B" w14:textId="77777777" w:rsidR="00CD60DE" w:rsidRPr="009C2720" w:rsidRDefault="00CD60DE" w:rsidP="0077053F">
      <w:pPr>
        <w:spacing w:after="0"/>
        <w:jc w:val="both"/>
        <w:rPr>
          <w:rFonts w:ascii="Palatino" w:hAnsi="Palatino"/>
          <w:lang w:val="en-GB"/>
        </w:rPr>
      </w:pPr>
    </w:p>
    <w:p w14:paraId="68962BCA" w14:textId="77777777" w:rsidR="00CD60DE" w:rsidRPr="009C2720" w:rsidRDefault="00CD60DE" w:rsidP="0077053F">
      <w:pPr>
        <w:spacing w:after="0"/>
        <w:jc w:val="both"/>
        <w:rPr>
          <w:rFonts w:ascii="Palatino" w:hAnsi="Palatino"/>
          <w:lang w:val="en-GB"/>
        </w:rPr>
      </w:pPr>
    </w:p>
    <w:p w14:paraId="1C4818AB" w14:textId="773E0393" w:rsidR="00BF0011" w:rsidRPr="009C2720" w:rsidRDefault="00BF0011" w:rsidP="0077053F">
      <w:pPr>
        <w:spacing w:after="0"/>
        <w:jc w:val="both"/>
        <w:rPr>
          <w:rFonts w:ascii="Palatino" w:hAnsi="Palatino"/>
          <w:lang w:val="en-GB"/>
        </w:rPr>
      </w:pPr>
      <w:r w:rsidRPr="009C2720">
        <w:rPr>
          <w:rFonts w:ascii="Palatino" w:hAnsi="Palatino"/>
          <w:lang w:val="en-GB"/>
        </w:rPr>
        <w:t xml:space="preserve"> </w:t>
      </w:r>
    </w:p>
    <w:p w14:paraId="7E8C8958" w14:textId="2A73F617" w:rsidR="00B3076E" w:rsidRPr="009C2720" w:rsidRDefault="00B3076E" w:rsidP="0077053F">
      <w:pPr>
        <w:spacing w:after="0"/>
        <w:jc w:val="both"/>
        <w:rPr>
          <w:rFonts w:ascii="Palatino" w:hAnsi="Palatino"/>
          <w:lang w:val="en-GB"/>
        </w:rPr>
      </w:pPr>
      <w:r w:rsidRPr="009C2720">
        <w:rPr>
          <w:rFonts w:ascii="Palatino" w:hAnsi="Palatino"/>
          <w:lang w:val="en-GB"/>
        </w:rPr>
        <w:t xml:space="preserve"> </w:t>
      </w:r>
    </w:p>
    <w:sectPr w:rsidR="00B3076E" w:rsidRPr="009C272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5F51" w14:textId="77777777" w:rsidR="00E62E22" w:rsidRDefault="00E62E22" w:rsidP="00EB7437">
      <w:pPr>
        <w:spacing w:after="0" w:line="240" w:lineRule="auto"/>
      </w:pPr>
      <w:r>
        <w:separator/>
      </w:r>
    </w:p>
  </w:endnote>
  <w:endnote w:type="continuationSeparator" w:id="0">
    <w:p w14:paraId="14FE37D4" w14:textId="77777777" w:rsidR="00E62E22" w:rsidRDefault="00E62E22" w:rsidP="00EB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836241"/>
      <w:docPartObj>
        <w:docPartGallery w:val="Page Numbers (Bottom of Page)"/>
        <w:docPartUnique/>
      </w:docPartObj>
    </w:sdtPr>
    <w:sdtEndPr/>
    <w:sdtContent>
      <w:p w14:paraId="3E5A9914" w14:textId="2BB32352" w:rsidR="00201C1A" w:rsidRDefault="00201C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F0">
          <w:rPr>
            <w:noProof/>
          </w:rPr>
          <w:t>1</w:t>
        </w:r>
        <w:r>
          <w:fldChar w:fldCharType="end"/>
        </w:r>
      </w:p>
    </w:sdtContent>
  </w:sdt>
  <w:p w14:paraId="34AF6F28" w14:textId="77777777" w:rsidR="00201C1A" w:rsidRDefault="00201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8FD0" w14:textId="77777777" w:rsidR="00E62E22" w:rsidRDefault="00E62E22" w:rsidP="00EB7437">
      <w:pPr>
        <w:spacing w:after="0" w:line="240" w:lineRule="auto"/>
      </w:pPr>
      <w:r>
        <w:separator/>
      </w:r>
    </w:p>
  </w:footnote>
  <w:footnote w:type="continuationSeparator" w:id="0">
    <w:p w14:paraId="25AE16F4" w14:textId="77777777" w:rsidR="00E62E22" w:rsidRDefault="00E62E22" w:rsidP="00EB7437">
      <w:pPr>
        <w:spacing w:after="0" w:line="240" w:lineRule="auto"/>
      </w:pPr>
      <w:r>
        <w:continuationSeparator/>
      </w:r>
    </w:p>
  </w:footnote>
  <w:footnote w:id="1">
    <w:p w14:paraId="53BFB9C3" w14:textId="4BB741EF" w:rsidR="00C25DA4" w:rsidRPr="00BE14FD" w:rsidRDefault="00C25DA4">
      <w:pPr>
        <w:pStyle w:val="Funotentext"/>
        <w:rPr>
          <w:rFonts w:asciiTheme="majorBidi" w:hAnsiTheme="majorBidi" w:cstheme="majorBidi"/>
          <w:lang w:val="en-GB"/>
        </w:rPr>
      </w:pPr>
      <w:r>
        <w:rPr>
          <w:rStyle w:val="Funotenzeichen"/>
        </w:rPr>
        <w:footnoteRef/>
      </w:r>
      <w:r w:rsidRPr="009B17CD">
        <w:rPr>
          <w:lang w:val="en-GB"/>
        </w:rPr>
        <w:t xml:space="preserve"> </w:t>
      </w:r>
      <w:r w:rsidR="00540F13" w:rsidRPr="00BE14FD">
        <w:rPr>
          <w:rFonts w:asciiTheme="majorBidi" w:hAnsiTheme="majorBidi" w:cstheme="majorBidi"/>
          <w:bCs/>
          <w:lang w:val="en-GB"/>
        </w:rPr>
        <w:t xml:space="preserve">Pope Francis, Encyclical Letter, </w:t>
      </w:r>
      <w:r w:rsidR="00540F13" w:rsidRPr="00BE14FD">
        <w:rPr>
          <w:rFonts w:asciiTheme="majorBidi" w:hAnsiTheme="majorBidi" w:cstheme="majorBidi"/>
          <w:bCs/>
          <w:i/>
          <w:iCs/>
          <w:lang w:val="en-GB"/>
        </w:rPr>
        <w:t>Laudato Si’</w:t>
      </w:r>
      <w:r w:rsidR="00540F13" w:rsidRPr="00BE14FD">
        <w:rPr>
          <w:rFonts w:asciiTheme="majorBidi" w:hAnsiTheme="majorBidi" w:cstheme="majorBidi"/>
          <w:bCs/>
          <w:lang w:val="en-GB"/>
        </w:rPr>
        <w:t xml:space="preserve">, </w:t>
      </w:r>
      <w:r w:rsidR="005D0D2B" w:rsidRPr="00BE14FD">
        <w:rPr>
          <w:rFonts w:asciiTheme="majorBidi" w:hAnsiTheme="majorBidi" w:cstheme="majorBidi"/>
          <w:bCs/>
          <w:lang w:val="en-GB"/>
        </w:rPr>
        <w:t>(24 May 2015), 128.</w:t>
      </w:r>
    </w:p>
  </w:footnote>
  <w:footnote w:id="2">
    <w:p w14:paraId="3EB4A066" w14:textId="7C7242C4" w:rsidR="00725C48" w:rsidRPr="00BE14FD" w:rsidRDefault="00725C48" w:rsidP="00725C48">
      <w:pPr>
        <w:rPr>
          <w:rFonts w:ascii="Times New Roman" w:eastAsia="Times New Roman" w:hAnsi="Times New Roman" w:cs="Times New Roman"/>
          <w:sz w:val="21"/>
          <w:szCs w:val="24"/>
          <w:lang w:val="en-US"/>
        </w:rPr>
      </w:pPr>
      <w:r w:rsidRPr="00BE14FD">
        <w:rPr>
          <w:rStyle w:val="Funotenzeichen"/>
          <w:rFonts w:ascii="Times New Roman" w:hAnsi="Times New Roman" w:cs="Times New Roman"/>
          <w:sz w:val="20"/>
        </w:rPr>
        <w:footnoteRef/>
      </w:r>
      <w:r w:rsidRPr="00BE14FD">
        <w:rPr>
          <w:rFonts w:ascii="Times New Roman" w:hAnsi="Times New Roman" w:cs="Times New Roman"/>
          <w:sz w:val="20"/>
          <w:lang w:val="en-GB"/>
        </w:rPr>
        <w:t xml:space="preserve"> Pope Francis, Address to participants at the meeting for </w:t>
      </w:r>
      <w:r w:rsidR="00371124" w:rsidRPr="00BE14FD">
        <w:rPr>
          <w:rFonts w:ascii="Times New Roman" w:hAnsi="Times New Roman" w:cs="Times New Roman"/>
          <w:bCs/>
          <w:sz w:val="20"/>
          <w:lang w:val="en-GB"/>
        </w:rPr>
        <w:t>executives</w:t>
      </w:r>
      <w:r w:rsidR="00371124" w:rsidRPr="00BE14FD">
        <w:rPr>
          <w:rFonts w:ascii="Times New Roman" w:hAnsi="Times New Roman" w:cs="Times New Roman"/>
          <w:sz w:val="20"/>
          <w:lang w:val="en-GB"/>
        </w:rPr>
        <w:t xml:space="preserve"> </w:t>
      </w:r>
      <w:r w:rsidRPr="00BE14FD">
        <w:rPr>
          <w:rFonts w:ascii="Times New Roman" w:hAnsi="Times New Roman" w:cs="Times New Roman"/>
          <w:sz w:val="20"/>
          <w:lang w:val="en-GB"/>
        </w:rPr>
        <w:t>of</w:t>
      </w:r>
      <w:r w:rsidR="00371124" w:rsidRPr="00BE14FD">
        <w:rPr>
          <w:rFonts w:ascii="Times New Roman" w:hAnsi="Times New Roman" w:cs="Times New Roman"/>
          <w:sz w:val="20"/>
          <w:lang w:val="en-GB"/>
        </w:rPr>
        <w:t xml:space="preserve"> </w:t>
      </w:r>
      <w:r w:rsidRPr="00BE14FD">
        <w:rPr>
          <w:rFonts w:ascii="Times New Roman" w:hAnsi="Times New Roman" w:cs="Times New Roman"/>
          <w:sz w:val="20"/>
          <w:lang w:val="en-GB"/>
        </w:rPr>
        <w:t>the main companies in the oil and natural gas sectors, and other energy related business, 9 June 2018</w:t>
      </w:r>
      <w:r w:rsidR="002C0569" w:rsidRPr="00BE14FD">
        <w:rPr>
          <w:rFonts w:ascii="Times New Roman" w:hAnsi="Times New Roman" w:cs="Times New Roman"/>
          <w:bCs/>
          <w:sz w:val="20"/>
          <w:lang w:val="en-GB"/>
        </w:rPr>
        <w:t>.</w:t>
      </w:r>
    </w:p>
    <w:p w14:paraId="08ED9DE9" w14:textId="732DCC76" w:rsidR="00725C48" w:rsidRPr="002A6CD1" w:rsidRDefault="00725C48">
      <w:pPr>
        <w:pStyle w:val="Funoten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DF9"/>
    <w:multiLevelType w:val="hybridMultilevel"/>
    <w:tmpl w:val="ED822504"/>
    <w:lvl w:ilvl="0" w:tplc="A0B27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CDD"/>
    <w:multiLevelType w:val="hybridMultilevel"/>
    <w:tmpl w:val="7012DFD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D671B"/>
    <w:multiLevelType w:val="hybridMultilevel"/>
    <w:tmpl w:val="2F3A33E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05775"/>
    <w:multiLevelType w:val="hybridMultilevel"/>
    <w:tmpl w:val="2D488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9E"/>
    <w:rsid w:val="00031362"/>
    <w:rsid w:val="000341BC"/>
    <w:rsid w:val="000533FD"/>
    <w:rsid w:val="00055CCF"/>
    <w:rsid w:val="00056179"/>
    <w:rsid w:val="00057A5B"/>
    <w:rsid w:val="00071075"/>
    <w:rsid w:val="000718A6"/>
    <w:rsid w:val="00075FF8"/>
    <w:rsid w:val="000770FF"/>
    <w:rsid w:val="00096B20"/>
    <w:rsid w:val="000A65DB"/>
    <w:rsid w:val="000B152A"/>
    <w:rsid w:val="000C2058"/>
    <w:rsid w:val="000E1B98"/>
    <w:rsid w:val="00123D2D"/>
    <w:rsid w:val="00173D54"/>
    <w:rsid w:val="00192C9A"/>
    <w:rsid w:val="001A1FA1"/>
    <w:rsid w:val="001A20A2"/>
    <w:rsid w:val="001B403C"/>
    <w:rsid w:val="001C2740"/>
    <w:rsid w:val="001E59AD"/>
    <w:rsid w:val="001F5801"/>
    <w:rsid w:val="00201C1A"/>
    <w:rsid w:val="00223AEC"/>
    <w:rsid w:val="002257E1"/>
    <w:rsid w:val="00226D3E"/>
    <w:rsid w:val="00237F98"/>
    <w:rsid w:val="00274D52"/>
    <w:rsid w:val="00281C06"/>
    <w:rsid w:val="00283643"/>
    <w:rsid w:val="002A3A72"/>
    <w:rsid w:val="002A6CD1"/>
    <w:rsid w:val="002C0569"/>
    <w:rsid w:val="002C0C51"/>
    <w:rsid w:val="002C1E80"/>
    <w:rsid w:val="00323042"/>
    <w:rsid w:val="003555B8"/>
    <w:rsid w:val="00371124"/>
    <w:rsid w:val="00377A21"/>
    <w:rsid w:val="00393D90"/>
    <w:rsid w:val="00396CB4"/>
    <w:rsid w:val="003B7D59"/>
    <w:rsid w:val="003C2EB4"/>
    <w:rsid w:val="003D2A4E"/>
    <w:rsid w:val="003E3A37"/>
    <w:rsid w:val="003E53C3"/>
    <w:rsid w:val="00400487"/>
    <w:rsid w:val="0043725F"/>
    <w:rsid w:val="0045277E"/>
    <w:rsid w:val="004548CD"/>
    <w:rsid w:val="00475892"/>
    <w:rsid w:val="0047684F"/>
    <w:rsid w:val="004A1A7B"/>
    <w:rsid w:val="004A3084"/>
    <w:rsid w:val="004A77FB"/>
    <w:rsid w:val="004B2C0C"/>
    <w:rsid w:val="004C7374"/>
    <w:rsid w:val="004D7DEC"/>
    <w:rsid w:val="004E0867"/>
    <w:rsid w:val="004E6A80"/>
    <w:rsid w:val="00523D8D"/>
    <w:rsid w:val="00540851"/>
    <w:rsid w:val="00540F13"/>
    <w:rsid w:val="00543F9C"/>
    <w:rsid w:val="005464F0"/>
    <w:rsid w:val="005A78E1"/>
    <w:rsid w:val="005C3F24"/>
    <w:rsid w:val="005C644E"/>
    <w:rsid w:val="005D0D2B"/>
    <w:rsid w:val="005E282B"/>
    <w:rsid w:val="005E59AF"/>
    <w:rsid w:val="006206A0"/>
    <w:rsid w:val="006445CF"/>
    <w:rsid w:val="00644AF6"/>
    <w:rsid w:val="00646B34"/>
    <w:rsid w:val="00660563"/>
    <w:rsid w:val="006657B9"/>
    <w:rsid w:val="006E10CB"/>
    <w:rsid w:val="007050D3"/>
    <w:rsid w:val="00725C48"/>
    <w:rsid w:val="00727F15"/>
    <w:rsid w:val="007452DC"/>
    <w:rsid w:val="00752BF4"/>
    <w:rsid w:val="0077053F"/>
    <w:rsid w:val="00787CA6"/>
    <w:rsid w:val="007A0906"/>
    <w:rsid w:val="007E4234"/>
    <w:rsid w:val="00822037"/>
    <w:rsid w:val="00823D51"/>
    <w:rsid w:val="008247A6"/>
    <w:rsid w:val="00833C7B"/>
    <w:rsid w:val="00876DB9"/>
    <w:rsid w:val="008864BD"/>
    <w:rsid w:val="00896F45"/>
    <w:rsid w:val="008D4C59"/>
    <w:rsid w:val="008E565E"/>
    <w:rsid w:val="008F610C"/>
    <w:rsid w:val="00902EAD"/>
    <w:rsid w:val="00912DA0"/>
    <w:rsid w:val="00943EDD"/>
    <w:rsid w:val="009536F8"/>
    <w:rsid w:val="00962958"/>
    <w:rsid w:val="009B17CD"/>
    <w:rsid w:val="009B2FA5"/>
    <w:rsid w:val="009C2720"/>
    <w:rsid w:val="009C6E67"/>
    <w:rsid w:val="009D2C19"/>
    <w:rsid w:val="009D7014"/>
    <w:rsid w:val="00A16953"/>
    <w:rsid w:val="00A23019"/>
    <w:rsid w:val="00A60FC6"/>
    <w:rsid w:val="00A74220"/>
    <w:rsid w:val="00A95577"/>
    <w:rsid w:val="00AB17A2"/>
    <w:rsid w:val="00AD23D4"/>
    <w:rsid w:val="00AF65BA"/>
    <w:rsid w:val="00B21946"/>
    <w:rsid w:val="00B3076E"/>
    <w:rsid w:val="00B54258"/>
    <w:rsid w:val="00B76D81"/>
    <w:rsid w:val="00B76EE4"/>
    <w:rsid w:val="00B84063"/>
    <w:rsid w:val="00BA4B29"/>
    <w:rsid w:val="00BA532D"/>
    <w:rsid w:val="00BB5D60"/>
    <w:rsid w:val="00BC26D2"/>
    <w:rsid w:val="00BD0195"/>
    <w:rsid w:val="00BD0625"/>
    <w:rsid w:val="00BE14FD"/>
    <w:rsid w:val="00BF0011"/>
    <w:rsid w:val="00C00192"/>
    <w:rsid w:val="00C01EE7"/>
    <w:rsid w:val="00C06CC3"/>
    <w:rsid w:val="00C2359E"/>
    <w:rsid w:val="00C25DA4"/>
    <w:rsid w:val="00C3028C"/>
    <w:rsid w:val="00C6239A"/>
    <w:rsid w:val="00C86290"/>
    <w:rsid w:val="00C916A2"/>
    <w:rsid w:val="00CA1D06"/>
    <w:rsid w:val="00CA6940"/>
    <w:rsid w:val="00CA7124"/>
    <w:rsid w:val="00CD4EAD"/>
    <w:rsid w:val="00CD60DE"/>
    <w:rsid w:val="00D04A85"/>
    <w:rsid w:val="00D134E8"/>
    <w:rsid w:val="00D63506"/>
    <w:rsid w:val="00D63FFE"/>
    <w:rsid w:val="00D66E52"/>
    <w:rsid w:val="00D956F7"/>
    <w:rsid w:val="00DA2D93"/>
    <w:rsid w:val="00DB1CBE"/>
    <w:rsid w:val="00DC5E4E"/>
    <w:rsid w:val="00DD5E04"/>
    <w:rsid w:val="00E06968"/>
    <w:rsid w:val="00E56672"/>
    <w:rsid w:val="00E62E22"/>
    <w:rsid w:val="00E77205"/>
    <w:rsid w:val="00EA1443"/>
    <w:rsid w:val="00EB7437"/>
    <w:rsid w:val="00EC6181"/>
    <w:rsid w:val="00F379AA"/>
    <w:rsid w:val="00F37CA7"/>
    <w:rsid w:val="00F610BC"/>
    <w:rsid w:val="00FB3B99"/>
    <w:rsid w:val="00FB5ACB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C5A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7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437"/>
  </w:style>
  <w:style w:type="paragraph" w:styleId="Fuzeile">
    <w:name w:val="footer"/>
    <w:basedOn w:val="Standard"/>
    <w:link w:val="FuzeileZchn"/>
    <w:uiPriority w:val="99"/>
    <w:unhideWhenUsed/>
    <w:rsid w:val="00EB7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437"/>
  </w:style>
  <w:style w:type="character" w:styleId="Kommentarzeichen">
    <w:name w:val="annotation reference"/>
    <w:basedOn w:val="Absatz-Standardschriftart"/>
    <w:uiPriority w:val="99"/>
    <w:semiHidden/>
    <w:unhideWhenUsed/>
    <w:rsid w:val="00393D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D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D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D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D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D9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912D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2D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12DA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2D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028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A6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9C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E17-2002-4397-AB91-542A1D5D0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D4E60-F3DC-4E8F-9ED7-5B5B3819D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9DFBD-6910-4611-BF4B-B1C6DECC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13F2B-D7F9-4227-830C-149C8450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C56B7D02.dotm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Madlaina Lippuner</cp:lastModifiedBy>
  <cp:revision>2</cp:revision>
  <cp:lastPrinted>2018-06-19T18:11:00Z</cp:lastPrinted>
  <dcterms:created xsi:type="dcterms:W3CDTF">2018-06-27T11:51:00Z</dcterms:created>
  <dcterms:modified xsi:type="dcterms:W3CDTF">2018-06-27T11:51:00Z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